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6D" w:rsidRDefault="007D1B6D" w:rsidP="007D1B6D">
      <w:pPr>
        <w:pStyle w:val="Heading1"/>
      </w:pPr>
      <w:bookmarkStart w:id="0" w:name="_GoBack"/>
      <w:bookmarkEnd w:id="0"/>
      <w:r>
        <w:t>Learning Activity Template</w:t>
      </w:r>
    </w:p>
    <w:p w:rsidR="006249FA" w:rsidRDefault="006249FA" w:rsidP="003D02A2">
      <w:r w:rsidRPr="006249FA">
        <w:t xml:space="preserve">This template can be used for both </w:t>
      </w:r>
      <w:r w:rsidRPr="006249FA">
        <w:rPr>
          <w:i/>
        </w:rPr>
        <w:t>writing</w:t>
      </w:r>
      <w:r w:rsidRPr="006249FA">
        <w:t xml:space="preserve"> and </w:t>
      </w:r>
      <w:r w:rsidRPr="006249FA">
        <w:rPr>
          <w:i/>
        </w:rPr>
        <w:t>presenting</w:t>
      </w:r>
      <w:r w:rsidRPr="006249FA">
        <w:t xml:space="preserve"> learning activities. The template ensures you are unlikely to leave anything out of your activity planning. </w:t>
      </w:r>
    </w:p>
    <w:p w:rsidR="007D1B6D" w:rsidRDefault="007D1B6D" w:rsidP="003D02A2">
      <w:r>
        <w:t>The benefits of using a similar structure when presenting learning activities to students are listed below:</w:t>
      </w:r>
    </w:p>
    <w:p w:rsidR="007D1B6D" w:rsidRDefault="007D1B6D" w:rsidP="006249FA">
      <w:pPr>
        <w:pStyle w:val="ListParagraph"/>
        <w:numPr>
          <w:ilvl w:val="0"/>
          <w:numId w:val="3"/>
        </w:numPr>
        <w:spacing w:after="120"/>
      </w:pPr>
      <w:r>
        <w:t>Cognitive load for students is reduced when each activity uses the same headings and follows a consistent structure</w:t>
      </w:r>
    </w:p>
    <w:p w:rsidR="007D1B6D" w:rsidRDefault="007D1B6D" w:rsidP="006249FA">
      <w:pPr>
        <w:pStyle w:val="ListParagraph"/>
        <w:numPr>
          <w:ilvl w:val="0"/>
          <w:numId w:val="3"/>
        </w:numPr>
        <w:spacing w:after="120"/>
      </w:pPr>
      <w:r>
        <w:t xml:space="preserve">The link between the activity and constructive alignment mapping of unit is explicitly made via the inclusion of the “purpose” statement in the activity. Including a purpose statement makes the “what’s in it for me?” clear to the students. </w:t>
      </w:r>
    </w:p>
    <w:p w:rsidR="003D02A2" w:rsidRDefault="00F14793" w:rsidP="003D02A2">
      <w:r>
        <w:pict>
          <v:rect id="_x0000_i1025" style="width:0;height:1.5pt" o:hralign="center" o:hrstd="t" o:hr="t" fillcolor="#a0a0a0" stroked="f"/>
        </w:pict>
      </w:r>
    </w:p>
    <w:p w:rsidR="00BE2590" w:rsidRDefault="00BE2590" w:rsidP="003D02A2"/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9"/>
        <w:gridCol w:w="8617"/>
      </w:tblGrid>
      <w:tr w:rsidR="003D02A2" w:rsidTr="00D258F6">
        <w:trPr>
          <w:cantSplit/>
        </w:trPr>
        <w:tc>
          <w:tcPr>
            <w:tcW w:w="959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D02A2" w:rsidRPr="003D02A2" w:rsidRDefault="003D02A2" w:rsidP="00F256E5">
            <w:pPr>
              <w:spacing w:before="120"/>
              <w:jc w:val="center"/>
              <w:rPr>
                <w:b/>
              </w:rPr>
            </w:pPr>
            <w:r w:rsidRPr="003D02A2">
              <w:rPr>
                <w:b/>
              </w:rPr>
              <w:t>1</w:t>
            </w:r>
          </w:p>
        </w:tc>
        <w:tc>
          <w:tcPr>
            <w:tcW w:w="861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D02A2" w:rsidRPr="003D02A2" w:rsidRDefault="006249FA" w:rsidP="00F256E5">
            <w:pPr>
              <w:spacing w:before="120"/>
              <w:rPr>
                <w:b/>
              </w:rPr>
            </w:pPr>
            <w:r>
              <w:rPr>
                <w:b/>
              </w:rPr>
              <w:t>Title</w:t>
            </w:r>
          </w:p>
          <w:p w:rsidR="003D02A2" w:rsidRDefault="006249FA" w:rsidP="006249FA">
            <w:pPr>
              <w:spacing w:before="120"/>
            </w:pPr>
            <w:r>
              <w:t xml:space="preserve">The title should be both descriptive and interesting. Your aim is </w:t>
            </w:r>
            <w:r w:rsidR="003D02A2">
              <w:t>to have students think</w:t>
            </w:r>
            <w:r w:rsidR="00EC1143">
              <w:t>,</w:t>
            </w:r>
            <w:r w:rsidR="003D02A2">
              <w:t xml:space="preserve"> “</w:t>
            </w:r>
            <w:r w:rsidR="00EC1143">
              <w:t>T</w:t>
            </w:r>
            <w:r w:rsidR="003D02A2">
              <w:t>his sounds interesting, I</w:t>
            </w:r>
            <w:r w:rsidR="00EC1143">
              <w:t xml:space="preserve">’m curious </w:t>
            </w:r>
            <w:r w:rsidR="003D02A2">
              <w:t xml:space="preserve">to </w:t>
            </w:r>
            <w:r w:rsidR="005F1B6D">
              <w:t>read on and know</w:t>
            </w:r>
            <w:r>
              <w:t xml:space="preserve"> more”.</w:t>
            </w:r>
          </w:p>
        </w:tc>
      </w:tr>
      <w:tr w:rsidR="003D02A2" w:rsidTr="00D258F6">
        <w:trPr>
          <w:cantSplit/>
        </w:trPr>
        <w:tc>
          <w:tcPr>
            <w:tcW w:w="959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D02A2" w:rsidRPr="003D02A2" w:rsidRDefault="003D02A2" w:rsidP="00F256E5">
            <w:pPr>
              <w:spacing w:before="120"/>
              <w:jc w:val="center"/>
              <w:rPr>
                <w:b/>
              </w:rPr>
            </w:pPr>
            <w:r w:rsidRPr="003D02A2">
              <w:rPr>
                <w:b/>
              </w:rPr>
              <w:t>2</w:t>
            </w:r>
          </w:p>
        </w:tc>
        <w:tc>
          <w:tcPr>
            <w:tcW w:w="861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D02A2" w:rsidRPr="003D02A2" w:rsidRDefault="003D02A2" w:rsidP="00F256E5">
            <w:pPr>
              <w:spacing w:before="120"/>
              <w:rPr>
                <w:b/>
              </w:rPr>
            </w:pPr>
            <w:r w:rsidRPr="003D02A2">
              <w:rPr>
                <w:b/>
              </w:rPr>
              <w:t>Purpose</w:t>
            </w:r>
          </w:p>
          <w:p w:rsidR="00EC1143" w:rsidRDefault="003D02A2" w:rsidP="00F256E5">
            <w:pPr>
              <w:spacing w:before="120"/>
            </w:pPr>
            <w:r>
              <w:t>Th</w:t>
            </w:r>
            <w:r w:rsidR="00EC1143">
              <w:t xml:space="preserve">is </w:t>
            </w:r>
            <w:r>
              <w:t xml:space="preserve">is DIRECTLY related to </w:t>
            </w:r>
            <w:r w:rsidR="00EC1143">
              <w:t>the module learning outcome(s)</w:t>
            </w:r>
            <w:r>
              <w:t xml:space="preserve">. If </w:t>
            </w:r>
            <w:r w:rsidR="00EC1143">
              <w:t xml:space="preserve">it </w:t>
            </w:r>
            <w:r w:rsidR="005F1B6D">
              <w:t>does not</w:t>
            </w:r>
            <w:r>
              <w:t xml:space="preserve">, ask yourself why you are even doing the activity. </w:t>
            </w:r>
          </w:p>
          <w:p w:rsidR="003D02A2" w:rsidRDefault="003D02A2" w:rsidP="00F256E5">
            <w:pPr>
              <w:spacing w:before="120"/>
            </w:pPr>
            <w:r>
              <w:t>Th</w:t>
            </w:r>
            <w:r w:rsidR="00EC1143">
              <w:t xml:space="preserve">e purpose statement also answers for students, “What’s in it for me?” It also </w:t>
            </w:r>
            <w:r>
              <w:t xml:space="preserve">explicitly </w:t>
            </w:r>
            <w:r w:rsidR="00EC1143">
              <w:t xml:space="preserve">ties the activity to the constructive alignment </w:t>
            </w:r>
            <w:r>
              <w:t xml:space="preserve">mapping </w:t>
            </w:r>
            <w:r w:rsidR="00EC1143">
              <w:t xml:space="preserve">work that you have done for your </w:t>
            </w:r>
            <w:r>
              <w:t>unit.</w:t>
            </w:r>
          </w:p>
        </w:tc>
      </w:tr>
      <w:tr w:rsidR="006249FA" w:rsidTr="00D258F6">
        <w:trPr>
          <w:cantSplit/>
        </w:trPr>
        <w:tc>
          <w:tcPr>
            <w:tcW w:w="959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249FA" w:rsidRPr="003D02A2" w:rsidRDefault="006249FA" w:rsidP="00B579E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61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249FA" w:rsidRPr="00EC1143" w:rsidRDefault="006249FA" w:rsidP="00B579E9">
            <w:pPr>
              <w:spacing w:before="120"/>
              <w:rPr>
                <w:b/>
              </w:rPr>
            </w:pPr>
            <w:r>
              <w:rPr>
                <w:b/>
              </w:rPr>
              <w:t>Instructions (Includes Learner Support)</w:t>
            </w:r>
          </w:p>
          <w:p w:rsidR="006249FA" w:rsidRDefault="006249FA" w:rsidP="00B579E9">
            <w:pPr>
              <w:spacing w:before="120"/>
            </w:pPr>
            <w:r>
              <w:t>What do you want them to do in the activity?  Write the instructions here.</w:t>
            </w:r>
          </w:p>
          <w:p w:rsidR="006249FA" w:rsidRDefault="006249FA" w:rsidP="00B579E9">
            <w:pPr>
              <w:spacing w:before="120"/>
            </w:pPr>
            <w:r>
              <w:t xml:space="preserve">As per Oliver and Herrington’s model, make sure you include any learner support resources they might need. </w:t>
            </w:r>
          </w:p>
          <w:p w:rsidR="006249FA" w:rsidRDefault="006249FA" w:rsidP="00B579E9">
            <w:pPr>
              <w:spacing w:before="120"/>
            </w:pPr>
            <w:r>
              <w:t>For example, wikis. If the students haven’t used one before, tell them what a wiki is, where they can go to find out more about how they work, and provide or link to instructions on how to contribute to a wiki.</w:t>
            </w:r>
          </w:p>
        </w:tc>
      </w:tr>
      <w:tr w:rsidR="006249FA" w:rsidTr="00D258F6">
        <w:trPr>
          <w:cantSplit/>
        </w:trPr>
        <w:tc>
          <w:tcPr>
            <w:tcW w:w="959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249FA" w:rsidRPr="003D02A2" w:rsidRDefault="006249FA" w:rsidP="00F256E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61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249FA" w:rsidRPr="00EC1143" w:rsidRDefault="006249FA" w:rsidP="00F256E5">
            <w:pPr>
              <w:spacing w:before="120"/>
              <w:rPr>
                <w:b/>
              </w:rPr>
            </w:pPr>
            <w:r w:rsidRPr="00EC1143">
              <w:rPr>
                <w:b/>
              </w:rPr>
              <w:t>Resources</w:t>
            </w:r>
          </w:p>
          <w:p w:rsidR="006249FA" w:rsidRDefault="006249FA" w:rsidP="00F256E5">
            <w:pPr>
              <w:spacing w:before="120"/>
            </w:pPr>
            <w:r>
              <w:t xml:space="preserve">This is the material the students need to do the task. </w:t>
            </w:r>
          </w:p>
          <w:p w:rsidR="006249FA" w:rsidRDefault="006249FA" w:rsidP="006249FA">
            <w:pPr>
              <w:spacing w:before="120"/>
            </w:pPr>
            <w:r>
              <w:t>While it may be tempting to head straight to text based resources, aim to use a wide variety of resources e.g. videos, web sites, podcasts, vodcasts etc</w:t>
            </w:r>
          </w:p>
        </w:tc>
      </w:tr>
      <w:tr w:rsidR="006249FA" w:rsidTr="00D258F6">
        <w:trPr>
          <w:cantSplit/>
        </w:trPr>
        <w:tc>
          <w:tcPr>
            <w:tcW w:w="959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249FA" w:rsidRPr="003D02A2" w:rsidRDefault="006249FA" w:rsidP="00F256E5">
            <w:pPr>
              <w:spacing w:before="120"/>
              <w:jc w:val="center"/>
              <w:rPr>
                <w:b/>
              </w:rPr>
            </w:pPr>
            <w:r w:rsidRPr="003D02A2">
              <w:rPr>
                <w:b/>
              </w:rPr>
              <w:lastRenderedPageBreak/>
              <w:t>5</w:t>
            </w:r>
          </w:p>
        </w:tc>
        <w:tc>
          <w:tcPr>
            <w:tcW w:w="861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249FA" w:rsidRPr="00EC1143" w:rsidRDefault="006249FA" w:rsidP="00F256E5">
            <w:pPr>
              <w:spacing w:before="120"/>
              <w:rPr>
                <w:b/>
              </w:rPr>
            </w:pPr>
            <w:r w:rsidRPr="00EC1143">
              <w:rPr>
                <w:b/>
              </w:rPr>
              <w:t>Feedback</w:t>
            </w:r>
          </w:p>
          <w:p w:rsidR="006249FA" w:rsidRDefault="006249FA" w:rsidP="00F256E5">
            <w:pPr>
              <w:spacing w:before="120"/>
            </w:pPr>
            <w:r>
              <w:t xml:space="preserve">Tell the students how they will get feedback on the activity. Will it be individual or to the group? </w:t>
            </w:r>
          </w:p>
          <w:p w:rsidR="006249FA" w:rsidRDefault="006249FA" w:rsidP="00F256E5">
            <w:pPr>
              <w:spacing w:before="120"/>
            </w:pPr>
            <w:r>
              <w:t>Some of the different ways you can provide feedback are listed below:</w:t>
            </w:r>
          </w:p>
          <w:p w:rsidR="006249FA" w:rsidRDefault="006249FA" w:rsidP="00F256E5">
            <w:pPr>
              <w:pStyle w:val="ListParagraph"/>
              <w:spacing w:before="120" w:after="120"/>
            </w:pPr>
            <w:r>
              <w:t>a debrief in class</w:t>
            </w:r>
          </w:p>
          <w:p w:rsidR="006249FA" w:rsidRDefault="006249FA" w:rsidP="00F256E5">
            <w:pPr>
              <w:pStyle w:val="ListParagraph"/>
              <w:spacing w:before="120" w:after="120"/>
            </w:pPr>
            <w:r>
              <w:t>feedback provided in discussion forum by the lecturer</w:t>
            </w:r>
          </w:p>
          <w:p w:rsidR="006249FA" w:rsidRDefault="006249FA" w:rsidP="00F256E5">
            <w:pPr>
              <w:pStyle w:val="ListParagraph"/>
              <w:spacing w:before="120" w:after="120"/>
            </w:pPr>
            <w:r>
              <w:t>sample answer posted on LEO by lecturer</w:t>
            </w:r>
          </w:p>
          <w:p w:rsidR="006249FA" w:rsidRDefault="006249FA" w:rsidP="00F256E5">
            <w:pPr>
              <w:pStyle w:val="ListParagraph"/>
              <w:spacing w:before="120" w:after="120"/>
            </w:pPr>
            <w:r>
              <w:t>email to lecturer and receive individual feedback</w:t>
            </w:r>
          </w:p>
          <w:p w:rsidR="006249FA" w:rsidRDefault="006249FA" w:rsidP="00F256E5">
            <w:pPr>
              <w:pStyle w:val="ListParagraph"/>
              <w:spacing w:before="120" w:after="120"/>
            </w:pPr>
            <w:r>
              <w:t>feedback via the next virtual drop in in the live classroom</w:t>
            </w:r>
          </w:p>
          <w:p w:rsidR="006249FA" w:rsidRDefault="006249FA" w:rsidP="00F256E5">
            <w:pPr>
              <w:pStyle w:val="ListParagraph"/>
              <w:spacing w:before="120" w:after="120"/>
            </w:pPr>
            <w:r>
              <w:t xml:space="preserve">feedback via video or audio. </w:t>
            </w:r>
          </w:p>
        </w:tc>
      </w:tr>
      <w:tr w:rsidR="006249FA" w:rsidTr="00D258F6">
        <w:trPr>
          <w:cantSplit/>
        </w:trPr>
        <w:tc>
          <w:tcPr>
            <w:tcW w:w="959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249FA" w:rsidRPr="003D02A2" w:rsidRDefault="006249FA" w:rsidP="00F256E5">
            <w:pPr>
              <w:spacing w:before="120"/>
              <w:jc w:val="center"/>
              <w:rPr>
                <w:b/>
              </w:rPr>
            </w:pPr>
            <w:r w:rsidRPr="003D02A2">
              <w:rPr>
                <w:b/>
              </w:rPr>
              <w:t>6</w:t>
            </w:r>
          </w:p>
        </w:tc>
        <w:tc>
          <w:tcPr>
            <w:tcW w:w="861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249FA" w:rsidRPr="00EC1143" w:rsidRDefault="006249FA" w:rsidP="00F256E5">
            <w:pPr>
              <w:spacing w:before="120"/>
              <w:rPr>
                <w:b/>
              </w:rPr>
            </w:pPr>
            <w:r w:rsidRPr="00EC1143">
              <w:rPr>
                <w:b/>
              </w:rPr>
              <w:t>Timing</w:t>
            </w:r>
          </w:p>
          <w:p w:rsidR="006249FA" w:rsidRDefault="006249FA" w:rsidP="00F256E5">
            <w:pPr>
              <w:spacing w:before="120"/>
            </w:pPr>
            <w:r>
              <w:t>Tell students how much time to allocate to the task.</w:t>
            </w:r>
          </w:p>
          <w:p w:rsidR="006249FA" w:rsidRDefault="006249FA" w:rsidP="00F256E5">
            <w:pPr>
              <w:spacing w:before="120"/>
            </w:pPr>
            <w:r>
              <w:t>This ties in with the notion presented in Session 2 of being “realistic”. Include a recommended maximum.</w:t>
            </w:r>
          </w:p>
        </w:tc>
      </w:tr>
    </w:tbl>
    <w:p w:rsidR="003D02A2" w:rsidRDefault="003D02A2" w:rsidP="003D02A2"/>
    <w:p w:rsidR="003C3A43" w:rsidRDefault="003C3A43">
      <w:pPr>
        <w:spacing w:after="200" w:line="276" w:lineRule="auto"/>
      </w:pPr>
      <w:r>
        <w:br w:type="page"/>
      </w:r>
    </w:p>
    <w:p w:rsidR="003C3A43" w:rsidRDefault="003C3A43" w:rsidP="003D02A2">
      <w:r>
        <w:lastRenderedPageBreak/>
        <w:t>The table on this page is intentionally blank and is provided as a template for you to use when drafting learning activities for your unit.</w:t>
      </w:r>
    </w:p>
    <w:p w:rsidR="003C3A43" w:rsidRDefault="003C3A43" w:rsidP="003D02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617"/>
      </w:tblGrid>
      <w:tr w:rsidR="003C3A43" w:rsidTr="00666FA1">
        <w:trPr>
          <w:cantSplit/>
        </w:trPr>
        <w:tc>
          <w:tcPr>
            <w:tcW w:w="959" w:type="dxa"/>
            <w:tcMar>
              <w:top w:w="28" w:type="dxa"/>
              <w:bottom w:w="28" w:type="dxa"/>
            </w:tcMar>
          </w:tcPr>
          <w:p w:rsidR="003C3A43" w:rsidRPr="003D02A2" w:rsidRDefault="003C3A43" w:rsidP="00666FA1">
            <w:pPr>
              <w:spacing w:before="120"/>
              <w:jc w:val="center"/>
              <w:rPr>
                <w:b/>
              </w:rPr>
            </w:pPr>
            <w:r w:rsidRPr="003D02A2">
              <w:rPr>
                <w:b/>
              </w:rPr>
              <w:t>1</w:t>
            </w:r>
          </w:p>
        </w:tc>
        <w:tc>
          <w:tcPr>
            <w:tcW w:w="8617" w:type="dxa"/>
            <w:tcMar>
              <w:top w:w="28" w:type="dxa"/>
              <w:bottom w:w="28" w:type="dxa"/>
            </w:tcMar>
          </w:tcPr>
          <w:p w:rsidR="003C3A43" w:rsidRPr="003D02A2" w:rsidRDefault="003C3A43" w:rsidP="00666FA1">
            <w:pPr>
              <w:spacing w:before="120"/>
              <w:rPr>
                <w:b/>
              </w:rPr>
            </w:pPr>
            <w:r>
              <w:rPr>
                <w:b/>
              </w:rPr>
              <w:t>Title</w:t>
            </w:r>
          </w:p>
          <w:p w:rsidR="003C3A43" w:rsidRDefault="003C3A43" w:rsidP="00666FA1">
            <w:pPr>
              <w:spacing w:before="120"/>
            </w:pPr>
          </w:p>
        </w:tc>
      </w:tr>
      <w:tr w:rsidR="003C3A43" w:rsidTr="00666FA1">
        <w:trPr>
          <w:cantSplit/>
        </w:trPr>
        <w:tc>
          <w:tcPr>
            <w:tcW w:w="959" w:type="dxa"/>
            <w:tcMar>
              <w:top w:w="28" w:type="dxa"/>
              <w:bottom w:w="28" w:type="dxa"/>
            </w:tcMar>
          </w:tcPr>
          <w:p w:rsidR="003C3A43" w:rsidRPr="003D02A2" w:rsidRDefault="003C3A43" w:rsidP="00666FA1">
            <w:pPr>
              <w:spacing w:before="120"/>
              <w:jc w:val="center"/>
              <w:rPr>
                <w:b/>
              </w:rPr>
            </w:pPr>
            <w:r w:rsidRPr="003D02A2">
              <w:rPr>
                <w:b/>
              </w:rPr>
              <w:t>2</w:t>
            </w:r>
          </w:p>
        </w:tc>
        <w:tc>
          <w:tcPr>
            <w:tcW w:w="8617" w:type="dxa"/>
            <w:tcMar>
              <w:top w:w="28" w:type="dxa"/>
              <w:bottom w:w="28" w:type="dxa"/>
            </w:tcMar>
          </w:tcPr>
          <w:p w:rsidR="003C3A43" w:rsidRPr="003D02A2" w:rsidRDefault="003C3A43" w:rsidP="00666FA1">
            <w:pPr>
              <w:spacing w:before="120"/>
              <w:rPr>
                <w:b/>
              </w:rPr>
            </w:pPr>
            <w:r w:rsidRPr="003D02A2">
              <w:rPr>
                <w:b/>
              </w:rPr>
              <w:t>Purpose</w:t>
            </w:r>
          </w:p>
          <w:p w:rsidR="003C3A43" w:rsidRDefault="003C3A43" w:rsidP="00666FA1">
            <w:pPr>
              <w:spacing w:before="120"/>
            </w:pPr>
          </w:p>
          <w:p w:rsidR="003C3A43" w:rsidRDefault="003C3A43" w:rsidP="00666FA1">
            <w:pPr>
              <w:spacing w:before="120"/>
            </w:pPr>
          </w:p>
        </w:tc>
      </w:tr>
      <w:tr w:rsidR="003C3A43" w:rsidTr="00666FA1">
        <w:trPr>
          <w:cantSplit/>
        </w:trPr>
        <w:tc>
          <w:tcPr>
            <w:tcW w:w="959" w:type="dxa"/>
            <w:tcMar>
              <w:top w:w="28" w:type="dxa"/>
              <w:bottom w:w="28" w:type="dxa"/>
            </w:tcMar>
          </w:tcPr>
          <w:p w:rsidR="003C3A43" w:rsidRPr="003D02A2" w:rsidRDefault="003C3A43" w:rsidP="00666FA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617" w:type="dxa"/>
            <w:tcMar>
              <w:top w:w="28" w:type="dxa"/>
              <w:bottom w:w="28" w:type="dxa"/>
            </w:tcMar>
          </w:tcPr>
          <w:p w:rsidR="003C3A43" w:rsidRPr="00EC1143" w:rsidRDefault="003C3A43" w:rsidP="00666FA1">
            <w:pPr>
              <w:spacing w:before="120"/>
              <w:rPr>
                <w:b/>
              </w:rPr>
            </w:pPr>
            <w:r>
              <w:rPr>
                <w:b/>
              </w:rPr>
              <w:t>Instructions (Includes Learner Support)</w:t>
            </w:r>
          </w:p>
          <w:p w:rsidR="003C3A43" w:rsidRDefault="003C3A43" w:rsidP="00666FA1">
            <w:pPr>
              <w:spacing w:before="120"/>
            </w:pPr>
          </w:p>
          <w:p w:rsidR="003C3A43" w:rsidRDefault="003C3A43" w:rsidP="00666FA1">
            <w:pPr>
              <w:spacing w:before="120"/>
            </w:pPr>
          </w:p>
          <w:p w:rsidR="003C3A43" w:rsidRDefault="003C3A43" w:rsidP="00666FA1">
            <w:pPr>
              <w:spacing w:before="120"/>
            </w:pPr>
          </w:p>
          <w:p w:rsidR="003C3A43" w:rsidRDefault="003C3A43" w:rsidP="00666FA1">
            <w:pPr>
              <w:spacing w:before="120"/>
            </w:pPr>
          </w:p>
        </w:tc>
      </w:tr>
      <w:tr w:rsidR="003C3A43" w:rsidTr="00666FA1">
        <w:trPr>
          <w:cantSplit/>
        </w:trPr>
        <w:tc>
          <w:tcPr>
            <w:tcW w:w="959" w:type="dxa"/>
            <w:tcMar>
              <w:top w:w="28" w:type="dxa"/>
              <w:bottom w:w="28" w:type="dxa"/>
            </w:tcMar>
          </w:tcPr>
          <w:p w:rsidR="003C3A43" w:rsidRPr="003D02A2" w:rsidRDefault="003C3A43" w:rsidP="00666FA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617" w:type="dxa"/>
            <w:tcMar>
              <w:top w:w="28" w:type="dxa"/>
              <w:bottom w:w="28" w:type="dxa"/>
            </w:tcMar>
          </w:tcPr>
          <w:p w:rsidR="003C3A43" w:rsidRPr="00EC1143" w:rsidRDefault="003C3A43" w:rsidP="00666FA1">
            <w:pPr>
              <w:spacing w:before="120"/>
              <w:rPr>
                <w:b/>
              </w:rPr>
            </w:pPr>
            <w:r w:rsidRPr="00EC1143">
              <w:rPr>
                <w:b/>
              </w:rPr>
              <w:t>Resources</w:t>
            </w:r>
          </w:p>
          <w:p w:rsidR="003C3A43" w:rsidRDefault="003C3A43" w:rsidP="00666FA1">
            <w:pPr>
              <w:spacing w:before="120"/>
            </w:pPr>
          </w:p>
          <w:p w:rsidR="003C3A43" w:rsidRDefault="003C3A43" w:rsidP="00666FA1">
            <w:pPr>
              <w:spacing w:before="120"/>
            </w:pPr>
          </w:p>
          <w:p w:rsidR="003C3A43" w:rsidRDefault="003C3A43" w:rsidP="00666FA1">
            <w:pPr>
              <w:spacing w:before="120"/>
            </w:pPr>
          </w:p>
          <w:p w:rsidR="003C3A43" w:rsidRDefault="003C3A43" w:rsidP="00666FA1">
            <w:pPr>
              <w:spacing w:before="120"/>
            </w:pPr>
          </w:p>
        </w:tc>
      </w:tr>
      <w:tr w:rsidR="003C3A43" w:rsidTr="00666FA1">
        <w:trPr>
          <w:cantSplit/>
        </w:trPr>
        <w:tc>
          <w:tcPr>
            <w:tcW w:w="959" w:type="dxa"/>
            <w:tcMar>
              <w:top w:w="28" w:type="dxa"/>
              <w:bottom w:w="28" w:type="dxa"/>
            </w:tcMar>
          </w:tcPr>
          <w:p w:rsidR="003C3A43" w:rsidRPr="003D02A2" w:rsidRDefault="003C3A43" w:rsidP="00666FA1">
            <w:pPr>
              <w:spacing w:before="120"/>
              <w:jc w:val="center"/>
              <w:rPr>
                <w:b/>
              </w:rPr>
            </w:pPr>
            <w:r w:rsidRPr="003D02A2">
              <w:rPr>
                <w:b/>
              </w:rPr>
              <w:t>5</w:t>
            </w:r>
          </w:p>
        </w:tc>
        <w:tc>
          <w:tcPr>
            <w:tcW w:w="8617" w:type="dxa"/>
            <w:tcMar>
              <w:top w:w="28" w:type="dxa"/>
              <w:bottom w:w="28" w:type="dxa"/>
            </w:tcMar>
          </w:tcPr>
          <w:p w:rsidR="003C3A43" w:rsidRPr="00EC1143" w:rsidRDefault="003C3A43" w:rsidP="00666FA1">
            <w:pPr>
              <w:spacing w:before="120"/>
              <w:rPr>
                <w:b/>
              </w:rPr>
            </w:pPr>
            <w:r w:rsidRPr="00EC1143">
              <w:rPr>
                <w:b/>
              </w:rPr>
              <w:t>Feedback</w:t>
            </w:r>
          </w:p>
          <w:p w:rsidR="003C3A43" w:rsidRDefault="003C3A43" w:rsidP="003C3A43">
            <w:pPr>
              <w:pStyle w:val="ListParagraph"/>
              <w:numPr>
                <w:ilvl w:val="0"/>
                <w:numId w:val="0"/>
              </w:numPr>
              <w:spacing w:before="120" w:after="120"/>
              <w:ind w:left="720"/>
            </w:pPr>
            <w:r>
              <w:t xml:space="preserve"> </w:t>
            </w:r>
          </w:p>
          <w:p w:rsidR="003C3A43" w:rsidRDefault="003C3A43" w:rsidP="003C3A43">
            <w:pPr>
              <w:pStyle w:val="ListParagraph"/>
              <w:numPr>
                <w:ilvl w:val="0"/>
                <w:numId w:val="0"/>
              </w:numPr>
              <w:spacing w:before="120" w:after="120"/>
              <w:ind w:left="720"/>
            </w:pPr>
          </w:p>
        </w:tc>
      </w:tr>
      <w:tr w:rsidR="003C3A43" w:rsidTr="00666FA1">
        <w:trPr>
          <w:cantSplit/>
        </w:trPr>
        <w:tc>
          <w:tcPr>
            <w:tcW w:w="959" w:type="dxa"/>
            <w:tcMar>
              <w:top w:w="28" w:type="dxa"/>
              <w:bottom w:w="28" w:type="dxa"/>
            </w:tcMar>
          </w:tcPr>
          <w:p w:rsidR="003C3A43" w:rsidRPr="003D02A2" w:rsidRDefault="003C3A43" w:rsidP="00666FA1">
            <w:pPr>
              <w:spacing w:before="120"/>
              <w:jc w:val="center"/>
              <w:rPr>
                <w:b/>
              </w:rPr>
            </w:pPr>
            <w:r w:rsidRPr="003D02A2">
              <w:rPr>
                <w:b/>
              </w:rPr>
              <w:t>6</w:t>
            </w:r>
          </w:p>
        </w:tc>
        <w:tc>
          <w:tcPr>
            <w:tcW w:w="8617" w:type="dxa"/>
            <w:tcMar>
              <w:top w:w="28" w:type="dxa"/>
              <w:bottom w:w="28" w:type="dxa"/>
            </w:tcMar>
          </w:tcPr>
          <w:p w:rsidR="003C3A43" w:rsidRPr="00EC1143" w:rsidRDefault="003C3A43" w:rsidP="00666FA1">
            <w:pPr>
              <w:spacing w:before="120"/>
              <w:rPr>
                <w:b/>
              </w:rPr>
            </w:pPr>
            <w:r w:rsidRPr="00EC1143">
              <w:rPr>
                <w:b/>
              </w:rPr>
              <w:t>Timing</w:t>
            </w:r>
          </w:p>
          <w:p w:rsidR="003C3A43" w:rsidRDefault="003C3A43" w:rsidP="00666FA1">
            <w:pPr>
              <w:spacing w:before="120"/>
            </w:pPr>
          </w:p>
          <w:p w:rsidR="003C3A43" w:rsidRDefault="003C3A43" w:rsidP="00666FA1">
            <w:pPr>
              <w:spacing w:before="120"/>
            </w:pPr>
          </w:p>
        </w:tc>
      </w:tr>
    </w:tbl>
    <w:p w:rsidR="003C3A43" w:rsidRDefault="003C3A43" w:rsidP="003D02A2"/>
    <w:sectPr w:rsidR="003C3A43" w:rsidSect="003D02A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05" w:rsidRDefault="00696D05" w:rsidP="00696D05">
      <w:pPr>
        <w:spacing w:after="0"/>
      </w:pPr>
      <w:r>
        <w:separator/>
      </w:r>
    </w:p>
  </w:endnote>
  <w:endnote w:type="continuationSeparator" w:id="0">
    <w:p w:rsidR="00696D05" w:rsidRDefault="00696D05" w:rsidP="00696D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05" w:rsidRPr="00696D05" w:rsidRDefault="006249FA">
    <w:pPr>
      <w:pStyle w:val="Footer"/>
      <w:rPr>
        <w:sz w:val="16"/>
        <w:szCs w:val="16"/>
      </w:rPr>
    </w:pPr>
    <w:r>
      <w:rPr>
        <w:sz w:val="16"/>
        <w:szCs w:val="16"/>
      </w:rPr>
      <w:t>Initially d</w:t>
    </w:r>
    <w:r w:rsidR="00696D05" w:rsidRPr="00696D05">
      <w:rPr>
        <w:sz w:val="16"/>
        <w:szCs w:val="16"/>
      </w:rPr>
      <w:t>eveloped by Meg Appleby for the Faculty of Health Sciences</w:t>
    </w:r>
    <w:r w:rsidR="00933782">
      <w:rPr>
        <w:sz w:val="16"/>
        <w:szCs w:val="16"/>
      </w:rPr>
      <w:t xml:space="preserve"> ACU (</w:t>
    </w:r>
    <w:r w:rsidR="00933782" w:rsidRPr="00696D05">
      <w:rPr>
        <w:sz w:val="16"/>
        <w:szCs w:val="16"/>
      </w:rPr>
      <w:t>2014</w:t>
    </w:r>
    <w:r w:rsidR="00933782">
      <w:rPr>
        <w:sz w:val="16"/>
        <w:szCs w:val="16"/>
      </w:rPr>
      <w:t>)</w:t>
    </w:r>
    <w:r w:rsidR="00696D05" w:rsidRPr="00696D05">
      <w:rPr>
        <w:sz w:val="16"/>
        <w:szCs w:val="16"/>
      </w:rPr>
      <w:t xml:space="preserve"> based on the work of Gilly Salmon</w:t>
    </w:r>
    <w:r>
      <w:rPr>
        <w:sz w:val="16"/>
        <w:szCs w:val="16"/>
      </w:rPr>
      <w:t>. Updated by the Faculty of Health Sciences (2016).</w:t>
    </w:r>
    <w:r w:rsidR="0081743B">
      <w:rPr>
        <w:sz w:val="16"/>
        <w:szCs w:val="16"/>
      </w:rPr>
      <w:tab/>
    </w:r>
    <w:r w:rsidR="0081743B">
      <w:rPr>
        <w:sz w:val="16"/>
        <w:szCs w:val="16"/>
      </w:rPr>
      <w:tab/>
      <w:t xml:space="preserve"> </w:t>
    </w:r>
    <w:r w:rsidR="0081743B">
      <w:rPr>
        <w:sz w:val="16"/>
        <w:szCs w:val="16"/>
      </w:rPr>
      <w:fldChar w:fldCharType="begin"/>
    </w:r>
    <w:r w:rsidR="0081743B">
      <w:rPr>
        <w:sz w:val="16"/>
        <w:szCs w:val="16"/>
      </w:rPr>
      <w:instrText xml:space="preserve"> PAGE   \* MERGEFORMAT </w:instrText>
    </w:r>
    <w:r w:rsidR="0081743B">
      <w:rPr>
        <w:sz w:val="16"/>
        <w:szCs w:val="16"/>
      </w:rPr>
      <w:fldChar w:fldCharType="separate"/>
    </w:r>
    <w:r w:rsidR="00F14793">
      <w:rPr>
        <w:noProof/>
        <w:sz w:val="16"/>
        <w:szCs w:val="16"/>
      </w:rPr>
      <w:t>3</w:t>
    </w:r>
    <w:r w:rsidR="0081743B">
      <w:rPr>
        <w:sz w:val="16"/>
        <w:szCs w:val="16"/>
      </w:rPr>
      <w:fldChar w:fldCharType="end"/>
    </w:r>
    <w:r w:rsidR="00696D05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05" w:rsidRDefault="00696D05" w:rsidP="00696D05">
      <w:pPr>
        <w:spacing w:after="0"/>
      </w:pPr>
      <w:r>
        <w:separator/>
      </w:r>
    </w:p>
  </w:footnote>
  <w:footnote w:type="continuationSeparator" w:id="0">
    <w:p w:rsidR="00696D05" w:rsidRDefault="00696D05" w:rsidP="00696D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FA" w:rsidRDefault="006249FA">
    <w:pPr>
      <w:pStyle w:val="Header"/>
    </w:pPr>
    <w:r>
      <w:t>Teaching Support Program | Session 4 | Live Classroom | Resources</w:t>
    </w:r>
  </w:p>
  <w:p w:rsidR="00300DB1" w:rsidRDefault="00300D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1816"/>
    <w:multiLevelType w:val="hybridMultilevel"/>
    <w:tmpl w:val="8E7A6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17E52"/>
    <w:multiLevelType w:val="hybridMultilevel"/>
    <w:tmpl w:val="8FF06D84"/>
    <w:lvl w:ilvl="0" w:tplc="72385A9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5723F"/>
    <w:multiLevelType w:val="hybridMultilevel"/>
    <w:tmpl w:val="7A709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6D"/>
    <w:rsid w:val="00300DB1"/>
    <w:rsid w:val="003C3A43"/>
    <w:rsid w:val="003D02A2"/>
    <w:rsid w:val="005A525F"/>
    <w:rsid w:val="005F1B6D"/>
    <w:rsid w:val="006249FA"/>
    <w:rsid w:val="00631293"/>
    <w:rsid w:val="00696D05"/>
    <w:rsid w:val="00742756"/>
    <w:rsid w:val="00744C66"/>
    <w:rsid w:val="007D1B6D"/>
    <w:rsid w:val="0081743B"/>
    <w:rsid w:val="00933782"/>
    <w:rsid w:val="00AC4F0A"/>
    <w:rsid w:val="00B72D73"/>
    <w:rsid w:val="00BE2590"/>
    <w:rsid w:val="00CD0B8D"/>
    <w:rsid w:val="00D258F6"/>
    <w:rsid w:val="00EC1143"/>
    <w:rsid w:val="00F14793"/>
    <w:rsid w:val="00F256E5"/>
    <w:rsid w:val="00FC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Arial 11 L justified"/>
    <w:qFormat/>
    <w:rsid w:val="00FC60BA"/>
    <w:pPr>
      <w:spacing w:after="120" w:line="240" w:lineRule="auto"/>
    </w:pPr>
    <w:rPr>
      <w:rFonts w:ascii="Arial" w:hAnsi="Arial" w:cs="Times New Roman"/>
      <w:szCs w:val="24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72D73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D7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autoRedefine/>
    <w:uiPriority w:val="34"/>
    <w:qFormat/>
    <w:rsid w:val="007D1B6D"/>
    <w:pPr>
      <w:numPr>
        <w:numId w:val="1"/>
      </w:numPr>
      <w:spacing w:after="0"/>
    </w:pPr>
    <w:rPr>
      <w:szCs w:val="20"/>
      <w:lang w:val="en-US"/>
    </w:rPr>
  </w:style>
  <w:style w:type="table" w:styleId="TableGrid">
    <w:name w:val="Table Grid"/>
    <w:basedOn w:val="TableNormal"/>
    <w:uiPriority w:val="59"/>
    <w:rsid w:val="003D0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6D0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6D05"/>
    <w:rPr>
      <w:rFonts w:ascii="Arial" w:hAnsi="Arial" w:cs="Times New Roman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96D0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6D05"/>
    <w:rPr>
      <w:rFonts w:ascii="Arial" w:hAnsi="Arial" w:cs="Times New Roman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D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D05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Arial 11 L justified"/>
    <w:qFormat/>
    <w:rsid w:val="00FC60BA"/>
    <w:pPr>
      <w:spacing w:after="120" w:line="240" w:lineRule="auto"/>
    </w:pPr>
    <w:rPr>
      <w:rFonts w:ascii="Arial" w:hAnsi="Arial" w:cs="Times New Roman"/>
      <w:szCs w:val="24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72D73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D7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autoRedefine/>
    <w:uiPriority w:val="34"/>
    <w:qFormat/>
    <w:rsid w:val="007D1B6D"/>
    <w:pPr>
      <w:numPr>
        <w:numId w:val="1"/>
      </w:numPr>
      <w:spacing w:after="0"/>
    </w:pPr>
    <w:rPr>
      <w:szCs w:val="20"/>
      <w:lang w:val="en-US"/>
    </w:rPr>
  </w:style>
  <w:style w:type="table" w:styleId="TableGrid">
    <w:name w:val="Table Grid"/>
    <w:basedOn w:val="TableNormal"/>
    <w:uiPriority w:val="59"/>
    <w:rsid w:val="003D0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6D0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6D05"/>
    <w:rPr>
      <w:rFonts w:ascii="Arial" w:hAnsi="Arial" w:cs="Times New Roman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96D0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6D05"/>
    <w:rPr>
      <w:rFonts w:ascii="Arial" w:hAnsi="Arial" w:cs="Times New Roman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D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D05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Appleby</dc:creator>
  <cp:lastModifiedBy>Windows User</cp:lastModifiedBy>
  <cp:revision>2</cp:revision>
  <dcterms:created xsi:type="dcterms:W3CDTF">2016-11-22T00:39:00Z</dcterms:created>
  <dcterms:modified xsi:type="dcterms:W3CDTF">2016-11-22T00:39:00Z</dcterms:modified>
</cp:coreProperties>
</file>